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Orange High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Departamento de Salud y Educación Física de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Esquema del curso / Programa de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primeros auxilios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Información del Departamento:</w:t>
      </w:r>
      <w:r w:rsidDel="00000000" w:rsidR="00000000" w:rsidRPr="00000000">
        <w:rPr>
          <w:rtl w:val="0"/>
        </w:rPr>
        <w:t xml:space="preserve"> Sr. Mohammed Abdelaziz, Subdirector — Director Atlético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Correo electrónico: abdelamo@orange.k12.nj.us Teléfono: (973) 677-4050 ext. 5030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Información del instructor:</w:t>
      </w:r>
      <w:r w:rsidDel="00000000" w:rsidR="00000000" w:rsidRPr="00000000">
        <w:rPr>
          <w:rtl w:val="0"/>
        </w:rPr>
        <w:t xml:space="preserve"> Sr. Anthony Frantantoni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frantoan@orange.k12.nj.us         </w:t>
        <w:tab/>
        <w:t xml:space="preserve">Teléfono: (973) 677-4050 ext. 5112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Descripción del curso: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Este curso se enfoca en el material desarrollado por la Cruz Roja Americana que proporcionará a los estudiantes el conocimiento para demostrar la técnica y la habilidad adecuadas al ayudar en una emergencia.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/ Libros de texto: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Los siguientes libros de texto no se distribuirán individualmente, sino que se utilizarán como recursos en la clase para la instrucción: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Manual del participante de Primeros Auxilios / RCP / DEA de la Cruz Roja Americana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proporcionarán recursos adicionales durante el curso de esta clase.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Suministros necesarios: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es obligatorio que todos los estudiantes tengan los siguientes artículos en clase todos los días (* los materiales están sujetos a revisión por parte del instructor / administrador en cualquier momento).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Instrumento de escritura (lápiz o bolígrafo)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Cualquier material adicional dado durante la clase.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Política de calificaciones: las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calificaciones se basarán en las siguientes cinco áreas ponderadas: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Pruebas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20% Cuestionarios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20% Trabajo en clase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25% de evaluación auténtica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10% tarea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Política de maquillaje: los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estudiantes son responsables de cualquier tarea perdida. Los estudiantes con ausencias justificadas podrán recuperar el trabajo DENTRO DE UNA SEMANA de su regreso a clase. Ausencias injustificadas resultarán en un impacto negativo en las calificaciones individuales.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Asistencia: La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asistencia es obligatoria. Las ausencias justificadas deben ser reportadas al maestro y a la oficina de asistencia. Se espera que los estudiantes lleguen a tiempo a clase todos los días. Los que lleguen después de la campana solo serán admitidos a clase y serán marcados tarde. Ausencias excesivas resultarán en detenciones después de la escuela. </w:t>
      </w:r>
      <w:r w:rsidDel="00000000" w:rsidR="00000000" w:rsidRPr="00000000">
        <w:rPr>
          <w:b w:val="1"/>
          <w:rtl w:val="0"/>
        </w:rPr>
        <w:t xml:space="preserve">Las tareas publicadas en Google Classroom son su responsabilidad, incluso si no estaba en clase cuando fueron asignadas. </w:t>
      </w:r>
      <w:r w:rsidDel="00000000" w:rsidR="00000000" w:rsidRPr="00000000">
        <w:rPr>
          <w:rtl w:val="0"/>
        </w:rPr>
        <w:t xml:space="preserve">Es su responsabilidad verificar Google Classroom todos los días para las tareas y actualizaciones.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Deshonestidad académica: los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estudiantes y sus padres / tutores deben consultar el Manual del estudiante de Orange High School con respecto a la Política de deshonestidad académica. Hacer trampa no será tolerado en clase y resultará en un cero.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Asignaciones tardías: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cualquier tarea que se entregue tarde se marcará automáticamente una calificación; a menos que se indique lo contrario a través del instructor. Se espera que entregue las tareas a tiempo.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 para recibir crédito: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más de 4 ausencias injustificadas.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Todas las tareas, pruebas / cuestionarios y / o proyectos deben completarse y a tiempo.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calificación aprobatoria de 65 o más.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de conducta del aula: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estudiantes deben estar en clase todos los días, a tiempo y preparados.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siguientes artículos están prohibidos: alimentos, bebidas (con la excepción del agua), teléfonos celulares, auriculares / auriculares o cualquier otro dispositivo electrónico. La electrónica debe estar fuera de la vista. Cualquier estudiante que use un dispositivo electrónico recibirá una advertencia y se le pedirá que lo guarde. De lo contrario, se confiscará hasta el final del día para que el estudiante pueda asegurar su dispositivo desde la oficina principal.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se tolerará el uso de lenguaje despectivo o grosero dirigido a nadie.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permitirán descansos en el baño en los momentos apropiados; Si se abusa del privilegio del baño, se lo quitarán. Ningún baño se interrumpe los primeros 10 minutos o los últimos 10 minutos de clase.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comienzo de la clase, toma tu Chromebook y siéntate en un escritorio. Comience a trabajar en Do Now u otra tarea publicada. No pierdas el tiempo en los pasillos.</w:t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Nota para los padres / tutores: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lo alienta a ver / monitorear las calificaciones de su hijo a través del Portal para Padres que se puede encontrar en el sitio web de Orange High School.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recomendamos que se comunique conmigo mismo por correo electrónico o por teléfono de la oficina si tiene preguntas, comentarios o inquietudes con respecto a su hijo; Se dará una respuesta dentro de las 48 horas.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Puede esperar llamadas telefónicas para comentarios positivos o negativos. Cualquier comentario negativo resultará en mi esfuerzo, junto con su apoyo, para asegurar el éxito de su hijo.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Acuerdo de primeros auxilios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Yo, </w:t>
        <w:tab/>
        <w:tab/>
        <w:tab/>
        <w:t xml:space="preserve">reconozco que: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(Nombre impreso)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C">
      <w:pPr>
        <w:ind w:left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Soy consciente de las políticas y los procedimientos según las instrucciones de mi maestro; Es mi responsabilidad familiarizarme con las expectativas de la clase.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Además, confirmo que he recibido, leído y entendido el programa de estudios.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0">
      <w:pPr>
        <w:ind w:left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Estoy de acuerdo en conducirme de manera profesional, respetuosa y conocedora.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Firma del alumno: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Firma del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padre / tutor: correo electrónico y celular del padre / tutor: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Fecha: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